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E23AC3" w:rsidRPr="001262BB" w:rsidRDefault="003F523F" w:rsidP="001262BB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3F52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3F523F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AF4B7B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БУХГАЛТЕРА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772443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AF4B7B">
        <w:t>Бухгалтер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772443" w:rsidRPr="004943A8">
        <w:t>22.12.2014</w:t>
      </w:r>
      <w:r w:rsidR="00772443">
        <w:t xml:space="preserve"> </w:t>
      </w:r>
      <w:r w:rsidRPr="004A6368">
        <w:t>№</w:t>
      </w:r>
      <w:r w:rsidR="004F2908">
        <w:t xml:space="preserve"> </w:t>
      </w:r>
      <w:r w:rsidR="00772443">
        <w:t>1061н.</w:t>
      </w:r>
      <w:r w:rsidR="00772443" w:rsidRPr="004943A8">
        <w:t xml:space="preserve"> 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0A052A" w:rsidRPr="000A052A">
        <w:rPr>
          <w:rFonts w:ascii="Times New Roman" w:hAnsi="Times New Roman" w:cs="Times New Roman"/>
          <w:sz w:val="24"/>
          <w:szCs w:val="24"/>
        </w:rPr>
        <w:t>БУХГАЛТЕР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составление бухгалтерской (финансовой) отчетности,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CA136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CA1365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0A052A">
        <w:t>БУХГАЛТЕР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CA1365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CA1365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CA1365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117975" w:rsidRPr="00117975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CA1365">
        <w:rPr>
          <w:rFonts w:ascii="Times New Roman" w:hAnsi="Times New Roman" w:cs="Times New Roman"/>
          <w:sz w:val="24"/>
          <w:szCs w:val="24"/>
        </w:rPr>
        <w:t>главному</w:t>
      </w:r>
      <w:r w:rsidR="00CA1365" w:rsidRPr="00117975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CA1365">
        <w:rPr>
          <w:rFonts w:ascii="Times New Roman" w:hAnsi="Times New Roman" w:cs="Times New Roman"/>
          <w:sz w:val="24"/>
          <w:szCs w:val="24"/>
        </w:rPr>
        <w:t>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CA1365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117975" w:rsidRPr="00117975">
        <w:rPr>
          <w:sz w:val="24"/>
          <w:szCs w:val="24"/>
        </w:rPr>
        <w:t>БУХГАЛТЕР</w:t>
      </w:r>
      <w:r w:rsidR="00CA1365">
        <w:rPr>
          <w:sz w:val="24"/>
          <w:szCs w:val="24"/>
        </w:rPr>
        <w:t>А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D2A" w:rsidRDefault="00EF0DDE" w:rsidP="00E72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687D2A" w:rsidRPr="00117975">
        <w:rPr>
          <w:rFonts w:ascii="Times New Roman" w:hAnsi="Times New Roman" w:cs="Times New Roman"/>
          <w:sz w:val="24"/>
          <w:szCs w:val="24"/>
        </w:rPr>
        <w:t>БУХГАЛТЕР</w:t>
      </w:r>
      <w:r w:rsidR="00687D2A">
        <w:rPr>
          <w:rFonts w:ascii="Times New Roman" w:hAnsi="Times New Roman" w:cs="Times New Roman"/>
          <w:sz w:val="24"/>
          <w:szCs w:val="24"/>
        </w:rPr>
        <w:t>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727AC" w:rsidRDefault="00E727AC" w:rsidP="00E727AC">
      <w:pPr>
        <w:ind w:firstLine="709"/>
        <w:jc w:val="both"/>
      </w:pPr>
      <w:r>
        <w:t>Среднее профессиональное образование - программы подготовки специалистов среднего звена;</w:t>
      </w:r>
    </w:p>
    <w:p w:rsidR="00E727AC" w:rsidRDefault="00E727AC" w:rsidP="00E727AC">
      <w:pPr>
        <w:ind w:firstLine="709"/>
        <w:jc w:val="both"/>
      </w:pPr>
      <w:r>
        <w:t>Дополнительное профессиональное образование по специальным программам.</w:t>
      </w:r>
    </w:p>
    <w:p w:rsidR="00687D2A" w:rsidRDefault="00687D2A" w:rsidP="00E727AC">
      <w:pPr>
        <w:ind w:left="360" w:firstLine="348"/>
      </w:pPr>
      <w:r w:rsidRPr="00EF0DDE">
        <w:t>2.2. Требования к опыту практической работы</w:t>
      </w:r>
      <w:r>
        <w:t>:</w:t>
      </w:r>
    </w:p>
    <w:p w:rsidR="00E727AC" w:rsidRDefault="00E727AC" w:rsidP="00E727AC">
      <w:pPr>
        <w:ind w:firstLine="709"/>
        <w:jc w:val="both"/>
      </w:pPr>
      <w:r>
        <w:t>При специальной подготовке по учету и контролю не менее трех лет.</w:t>
      </w:r>
    </w:p>
    <w:p w:rsidR="00E727AC" w:rsidRDefault="00E727AC" w:rsidP="00E727AC">
      <w:pPr>
        <w:ind w:firstLine="708"/>
        <w:jc w:val="both"/>
      </w:pPr>
      <w:r>
        <w:t>2.</w:t>
      </w:r>
      <w:r w:rsidR="003035FA">
        <w:t>3</w:t>
      </w:r>
      <w:r>
        <w:t>. Работник должен знать:</w:t>
      </w:r>
    </w:p>
    <w:p w:rsidR="00E727AC" w:rsidRDefault="00E727AC" w:rsidP="00E727AC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E727AC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E727AC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463D6">
      <w:pPr>
        <w:pStyle w:val="a8"/>
        <w:ind w:firstLine="0"/>
        <w:rPr>
          <w:rFonts w:eastAsia="Times New Roman"/>
          <w:sz w:val="24"/>
          <w:szCs w:val="24"/>
        </w:rPr>
      </w:pPr>
    </w:p>
    <w:p w:rsidR="00FC4956" w:rsidRPr="005463D6" w:rsidRDefault="00E727AC" w:rsidP="005463D6">
      <w:pPr>
        <w:pStyle w:val="a8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5463D6">
        <w:rPr>
          <w:b/>
          <w:sz w:val="24"/>
          <w:szCs w:val="24"/>
        </w:rPr>
        <w:t>Должностные обязанности,</w:t>
      </w:r>
    </w:p>
    <w:p w:rsidR="00563E14" w:rsidRPr="00E727AC" w:rsidRDefault="00E727AC" w:rsidP="00FC4956">
      <w:pPr>
        <w:pStyle w:val="a8"/>
        <w:ind w:firstLine="0"/>
        <w:jc w:val="center"/>
        <w:rPr>
          <w:b/>
          <w:sz w:val="24"/>
          <w:szCs w:val="24"/>
        </w:rPr>
      </w:pPr>
      <w:r w:rsidRPr="00E727AC">
        <w:rPr>
          <w:b/>
          <w:sz w:val="24"/>
          <w:szCs w:val="24"/>
        </w:rPr>
        <w:t>а также необходимые знания и умения для их выполнения</w:t>
      </w:r>
    </w:p>
    <w:p w:rsidR="00563E14" w:rsidRDefault="00563E14" w:rsidP="00563E14">
      <w:r>
        <w:t> </w:t>
      </w:r>
    </w:p>
    <w:p w:rsidR="00563E14" w:rsidRPr="00E727AC" w:rsidRDefault="00563E14" w:rsidP="00E727AC">
      <w:pPr>
        <w:pStyle w:val="a8"/>
        <w:rPr>
          <w:i/>
          <w:sz w:val="24"/>
          <w:szCs w:val="24"/>
        </w:rPr>
      </w:pPr>
      <w:r w:rsidRPr="00E727AC">
        <w:rPr>
          <w:i/>
          <w:sz w:val="24"/>
          <w:szCs w:val="24"/>
        </w:rPr>
        <w:t>В обязанности работника входит: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E727AC">
      <w:pPr>
        <w:jc w:val="both"/>
        <w:rPr>
          <w:b/>
        </w:rPr>
      </w:pPr>
      <w:r>
        <w:rPr>
          <w:b/>
        </w:rPr>
        <w:t>3</w:t>
      </w:r>
      <w:r w:rsidR="00563E14" w:rsidRPr="005463D6">
        <w:rPr>
          <w:b/>
        </w:rPr>
        <w:t>.1. Принятие к учету первичных учетных документов о фактах хозяйственной жизни экономического субъекта: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Составление (оформление) первичных учетных документов;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Прием первичных учетных документов о фактах хозяйственной жизни экономического субъекта;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Проверка первичных учетных документов в отношении формы, полноты оформления, реквизитов;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lastRenderedPageBreak/>
        <w:t>Систематизация первичных учетных документов текущего отчетного периода в соответствии с учетной политикой;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Составление на основе первичных учетных документов сводных учетных документов;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Подготовка первичных учетных документов для передачи в архив;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  <w:bookmarkStart w:id="0" w:name="_GoBack"/>
      <w:bookmarkEnd w:id="0"/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Составлять (оформлять) первичные учетные документы, в том числе электронные документы;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Владеть приемами комплексной проверки первичных учетных документов;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Обеспечивать сохранность первичных учетных документов до передачи их в архив.</w:t>
      </w:r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Практика применения законодательства Российской Федерации по вопросам оформления первичных учетных документов;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информатики и вычислительной техники.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E727AC">
      <w:pPr>
        <w:jc w:val="both"/>
        <w:rPr>
          <w:b/>
        </w:rPr>
      </w:pPr>
      <w:r>
        <w:rPr>
          <w:b/>
        </w:rPr>
        <w:t>3</w:t>
      </w:r>
      <w:r w:rsidR="00563E14" w:rsidRPr="005463D6">
        <w:rPr>
          <w:b/>
        </w:rPr>
        <w:t>.2. Денежное измерение объектов бухгалтерского учета и текущая группировка фактов хозяйственной жизни: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Денежное измерение объектов бухгалтерского учета и осуществление соответствующих бухгалтерских записей;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Регистрация данных, содержащихся в первичных учетных документах, в регистрах бухгалтерского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Сопоставление результатов инвентаризации с данными регистров бухгалтерского учета и составление сличительных ведомостей.</w:t>
      </w:r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Вести регистрацию и накопление данных посредством двойной записи, по простой системе;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Составлять бухгалтерские записи в соответствии с рабочим планом счетов экономического субъекта;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 xml:space="preserve">Владеть методами </w:t>
      </w:r>
      <w:proofErr w:type="spellStart"/>
      <w:r w:rsidRPr="00E727AC">
        <w:rPr>
          <w:szCs w:val="24"/>
        </w:rPr>
        <w:t>калькулирования</w:t>
      </w:r>
      <w:proofErr w:type="spellEnd"/>
      <w:r w:rsidRPr="00E727AC">
        <w:rPr>
          <w:szCs w:val="24"/>
        </w:rPr>
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lastRenderedPageBreak/>
        <w:t>Исчислять рублевый эквивалент выраженной в иностранной валюте стоимости активов и обязательств;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Практика применения законодательства Российской Федерации по вопросам денежного измерения объектов бухгалтерского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 xml:space="preserve">Методы </w:t>
      </w:r>
      <w:proofErr w:type="spellStart"/>
      <w:r w:rsidRPr="00E727AC">
        <w:rPr>
          <w:szCs w:val="24"/>
        </w:rPr>
        <w:t>калькулирования</w:t>
      </w:r>
      <w:proofErr w:type="spellEnd"/>
      <w:r w:rsidRPr="00E727AC">
        <w:rPr>
          <w:szCs w:val="24"/>
        </w:rPr>
        <w:t xml:space="preserve"> себестоимости продукции (работ, услуг);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Методы учета затрат продукции (работ, услуг);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экономики, технологии, организации производства и управления в экономическом субъекте;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информатики и вычислительной техники.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E727AC">
      <w:pPr>
        <w:jc w:val="both"/>
        <w:rPr>
          <w:b/>
        </w:rPr>
      </w:pPr>
      <w:r>
        <w:rPr>
          <w:b/>
        </w:rPr>
        <w:t>3</w:t>
      </w:r>
      <w:r w:rsidR="00563E14" w:rsidRPr="005463D6">
        <w:rPr>
          <w:b/>
        </w:rPr>
        <w:t>.3. Итоговое обобщение фактов хозяйственной жизни: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Контроль тождества данных аналитического учета оборотам и остаткам по счетам синтетического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 xml:space="preserve">Подготовка информации для составления </w:t>
      </w:r>
      <w:proofErr w:type="spellStart"/>
      <w:r w:rsidRPr="00E727AC">
        <w:rPr>
          <w:szCs w:val="24"/>
        </w:rPr>
        <w:t>оборотно</w:t>
      </w:r>
      <w:proofErr w:type="spellEnd"/>
      <w:r w:rsidRPr="00E727AC">
        <w:rPr>
          <w:szCs w:val="24"/>
        </w:rPr>
        <w:t>-сальдовой ведомости, главной книги;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Систематизация и комплектование регистров бухгалтерского учета за отчетный период;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Передача регистров бухгалтерского учета в архив;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Изготовление и предоставление по требованию уполномоченных органов копий регистров бухгалтерского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умения: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Готовить различные справки, готовить ответы на запросы, содержащие информацию, формируемую в системе бухгалтерского учета;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Обеспечивать сохранность регистров бухгалтерского учета до передачи их в архив;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Исправлять ошибки, допущенные при ведении бухгалтерского учета, в соответствии с установленными правилами.</w:t>
      </w:r>
    </w:p>
    <w:p w:rsidR="00563E14" w:rsidRPr="005463D6" w:rsidRDefault="00563E14" w:rsidP="00E727AC">
      <w:pPr>
        <w:jc w:val="both"/>
        <w:rPr>
          <w:b/>
          <w:i/>
        </w:rPr>
      </w:pPr>
      <w:r w:rsidRPr="005463D6">
        <w:rPr>
          <w:b/>
          <w:i/>
        </w:rPr>
        <w:t>Необходимые знания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Практика применения законодательства Российской Федерации по бухгалтерскому учету;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lastRenderedPageBreak/>
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экономики, технологии, организации производства и управления в экономическом субъекте;</w:t>
      </w:r>
    </w:p>
    <w:p w:rsidR="00563E14" w:rsidRPr="00E727AC" w:rsidRDefault="00563E14" w:rsidP="00E727AC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szCs w:val="24"/>
        </w:rPr>
      </w:pPr>
      <w:r w:rsidRPr="00E727AC">
        <w:rPr>
          <w:szCs w:val="24"/>
        </w:rPr>
        <w:t>Основы информатики и вычислительной техники.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463D6">
        <w:rPr>
          <w:b/>
          <w:sz w:val="24"/>
          <w:szCs w:val="24"/>
        </w:rPr>
        <w:t>. Права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63E14" w:rsidP="005463D6">
      <w:pPr>
        <w:pStyle w:val="a8"/>
        <w:ind w:firstLine="708"/>
        <w:rPr>
          <w:b/>
          <w:i/>
          <w:sz w:val="24"/>
          <w:szCs w:val="24"/>
        </w:rPr>
      </w:pPr>
      <w:r w:rsidRPr="005463D6">
        <w:rPr>
          <w:b/>
          <w:i/>
          <w:sz w:val="24"/>
          <w:szCs w:val="24"/>
        </w:rPr>
        <w:t>Работник вправе: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.1. Знакомиться с проектными решениями руководства, касающимися его деятельности.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.4. Требовать от руководства оказания содействия в исполнении своих должностных обязанностей и прав.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4</w:t>
      </w:r>
      <w:r w:rsidRPr="00E727AC"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463D6" w:rsidP="005463D6">
      <w:pPr>
        <w:pStyle w:val="a8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463D6">
        <w:rPr>
          <w:b/>
          <w:sz w:val="24"/>
          <w:szCs w:val="24"/>
        </w:rPr>
        <w:t>. Ответственность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5463D6" w:rsidRDefault="00563E14" w:rsidP="005463D6">
      <w:pPr>
        <w:pStyle w:val="a8"/>
        <w:ind w:firstLine="708"/>
        <w:rPr>
          <w:b/>
          <w:i/>
          <w:sz w:val="24"/>
          <w:szCs w:val="24"/>
        </w:rPr>
      </w:pPr>
      <w:r w:rsidRPr="005463D6">
        <w:rPr>
          <w:b/>
          <w:i/>
          <w:sz w:val="24"/>
          <w:szCs w:val="24"/>
        </w:rPr>
        <w:t>Работник несет ответственность: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5463D6">
      <w:pPr>
        <w:jc w:val="both"/>
      </w:pPr>
      <w:r w:rsidRPr="00E727AC">
        <w:t> </w:t>
      </w:r>
      <w:r w:rsidR="005463D6">
        <w:tab/>
        <w:t>5</w:t>
      </w:r>
      <w:r w:rsidRPr="00E727AC"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563E14" w:rsidRPr="00E727AC" w:rsidRDefault="00563E14" w:rsidP="00E727AC">
      <w:pPr>
        <w:jc w:val="both"/>
      </w:pPr>
      <w:r w:rsidRPr="00E727AC">
        <w:t> </w:t>
      </w:r>
    </w:p>
    <w:p w:rsidR="00563E14" w:rsidRPr="003035FA" w:rsidRDefault="00563E14" w:rsidP="00563E14"/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/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6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12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9080B"/>
    <w:rsid w:val="000A052A"/>
    <w:rsid w:val="000A7A8C"/>
    <w:rsid w:val="000B620D"/>
    <w:rsid w:val="000D1429"/>
    <w:rsid w:val="00106020"/>
    <w:rsid w:val="00115380"/>
    <w:rsid w:val="00117975"/>
    <w:rsid w:val="001262BB"/>
    <w:rsid w:val="001263B9"/>
    <w:rsid w:val="0014745B"/>
    <w:rsid w:val="00151606"/>
    <w:rsid w:val="00182635"/>
    <w:rsid w:val="001A5797"/>
    <w:rsid w:val="001A5813"/>
    <w:rsid w:val="001B2888"/>
    <w:rsid w:val="001B5F7C"/>
    <w:rsid w:val="001E783A"/>
    <w:rsid w:val="001F1BD9"/>
    <w:rsid w:val="00203460"/>
    <w:rsid w:val="0020350A"/>
    <w:rsid w:val="002429BD"/>
    <w:rsid w:val="00242EBA"/>
    <w:rsid w:val="00247E0B"/>
    <w:rsid w:val="00250AA0"/>
    <w:rsid w:val="00285CC1"/>
    <w:rsid w:val="002A1203"/>
    <w:rsid w:val="002D1D28"/>
    <w:rsid w:val="002D6273"/>
    <w:rsid w:val="003035FA"/>
    <w:rsid w:val="00307CD1"/>
    <w:rsid w:val="0034549A"/>
    <w:rsid w:val="003611C9"/>
    <w:rsid w:val="00362F0F"/>
    <w:rsid w:val="00386833"/>
    <w:rsid w:val="003B65FA"/>
    <w:rsid w:val="003E3887"/>
    <w:rsid w:val="003E6270"/>
    <w:rsid w:val="003F523F"/>
    <w:rsid w:val="003F5469"/>
    <w:rsid w:val="004928E1"/>
    <w:rsid w:val="00495052"/>
    <w:rsid w:val="004A4122"/>
    <w:rsid w:val="004A6368"/>
    <w:rsid w:val="004B4681"/>
    <w:rsid w:val="004F2908"/>
    <w:rsid w:val="004F7690"/>
    <w:rsid w:val="00537D22"/>
    <w:rsid w:val="00543A31"/>
    <w:rsid w:val="005463D6"/>
    <w:rsid w:val="0056039D"/>
    <w:rsid w:val="00563E14"/>
    <w:rsid w:val="00576089"/>
    <w:rsid w:val="00593857"/>
    <w:rsid w:val="005A01E1"/>
    <w:rsid w:val="005F0CEF"/>
    <w:rsid w:val="005F12C6"/>
    <w:rsid w:val="00687D2A"/>
    <w:rsid w:val="006E3548"/>
    <w:rsid w:val="0070580C"/>
    <w:rsid w:val="00707A03"/>
    <w:rsid w:val="00716199"/>
    <w:rsid w:val="00760756"/>
    <w:rsid w:val="00772443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53D5E"/>
    <w:rsid w:val="00961441"/>
    <w:rsid w:val="00974D09"/>
    <w:rsid w:val="009806BC"/>
    <w:rsid w:val="00995409"/>
    <w:rsid w:val="009A186E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4B7B"/>
    <w:rsid w:val="00AF5358"/>
    <w:rsid w:val="00B30A9E"/>
    <w:rsid w:val="00B50513"/>
    <w:rsid w:val="00B53F3D"/>
    <w:rsid w:val="00BB553B"/>
    <w:rsid w:val="00BC00CC"/>
    <w:rsid w:val="00BC2FC9"/>
    <w:rsid w:val="00BC3428"/>
    <w:rsid w:val="00BD43AC"/>
    <w:rsid w:val="00BE045A"/>
    <w:rsid w:val="00BF309D"/>
    <w:rsid w:val="00BF5C57"/>
    <w:rsid w:val="00C13A60"/>
    <w:rsid w:val="00C5086E"/>
    <w:rsid w:val="00C80286"/>
    <w:rsid w:val="00C806DA"/>
    <w:rsid w:val="00CA1365"/>
    <w:rsid w:val="00CA232F"/>
    <w:rsid w:val="00CA54DB"/>
    <w:rsid w:val="00CA6DFF"/>
    <w:rsid w:val="00D04A04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7125E"/>
    <w:rsid w:val="00E727AC"/>
    <w:rsid w:val="00E9248C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C4956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61</cp:revision>
  <cp:lastPrinted>2014-07-01T10:57:00Z</cp:lastPrinted>
  <dcterms:created xsi:type="dcterms:W3CDTF">2018-01-21T18:00:00Z</dcterms:created>
  <dcterms:modified xsi:type="dcterms:W3CDTF">2018-05-03T04:54:00Z</dcterms:modified>
</cp:coreProperties>
</file>